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6E" w:rsidRDefault="0019346E" w:rsidP="00E40C7E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color w:val="294594"/>
          <w:kern w:val="36"/>
          <w:sz w:val="30"/>
          <w:szCs w:val="30"/>
        </w:rPr>
      </w:pPr>
      <w:bookmarkStart w:id="0" w:name="OLE_LINK1"/>
      <w:bookmarkStart w:id="1" w:name="OLE_LINK2"/>
    </w:p>
    <w:p w:rsidR="00B04F4A" w:rsidRPr="0022716C" w:rsidRDefault="00A2782A" w:rsidP="00E40C7E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color w:val="294594"/>
          <w:kern w:val="36"/>
          <w:sz w:val="32"/>
          <w:szCs w:val="32"/>
        </w:rPr>
      </w:pPr>
      <w:r w:rsidRPr="0022716C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>2018</w:t>
      </w:r>
      <w:r w:rsidR="00B04F4A" w:rsidRPr="0022716C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 xml:space="preserve"> </w:t>
      </w:r>
      <w:r w:rsidR="004F6DDA" w:rsidRPr="0022716C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>威尼斯大学</w:t>
      </w:r>
      <w:r w:rsidRPr="0022716C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>企业可持续发展</w:t>
      </w:r>
      <w:r w:rsidR="004F6DDA" w:rsidRPr="0022716C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>管理</w:t>
      </w:r>
      <w:r w:rsidRPr="0022716C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>硕士研究生</w:t>
      </w:r>
      <w:r w:rsidR="004A3441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>课程</w:t>
      </w:r>
      <w:r w:rsidRPr="0022716C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>班</w:t>
      </w:r>
    </w:p>
    <w:p w:rsidR="004F4DC0" w:rsidRPr="0022716C" w:rsidRDefault="004F4DC0" w:rsidP="0076507D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color w:val="294594"/>
          <w:kern w:val="36"/>
          <w:sz w:val="32"/>
          <w:szCs w:val="32"/>
        </w:rPr>
      </w:pPr>
      <w:r w:rsidRPr="0022716C">
        <w:rPr>
          <w:rFonts w:asciiTheme="minorEastAsia" w:hAnsiTheme="minorEastAsia" w:cs="宋体" w:hint="eastAsia"/>
          <w:b/>
          <w:color w:val="294594"/>
          <w:kern w:val="36"/>
          <w:sz w:val="32"/>
          <w:szCs w:val="32"/>
        </w:rPr>
        <w:t>招生简章</w:t>
      </w:r>
    </w:p>
    <w:p w:rsidR="004F4DC0" w:rsidRPr="004F4DC0" w:rsidRDefault="004F4DC0" w:rsidP="0043262B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</w:t>
      </w:r>
      <w:r w:rsidR="0076507D" w:rsidRPr="006B3010">
        <w:rPr>
          <w:rFonts w:asciiTheme="minorEastAsia" w:hAnsiTheme="minorEastAsia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274310" cy="1150620"/>
            <wp:effectExtent l="19050" t="0" r="2540" b="0"/>
            <wp:docPr id="3" name="图片 2" descr="CaFoscari-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oscari-se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45C" w:rsidRDefault="00A7045C" w:rsidP="0019346E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</w:p>
    <w:p w:rsidR="003E3BDF" w:rsidRDefault="004F4DC0" w:rsidP="0019346E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威尼斯大学（意大利文：Università</w:t>
      </w:r>
      <w:r w:rsidR="003E7BC3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</w:t>
      </w:r>
      <w:r w:rsidR="003E7BC3" w:rsidRPr="003E7BC3">
        <w:rPr>
          <w:rFonts w:asciiTheme="minorEastAsia" w:hAnsiTheme="minorEastAsia" w:cs="宋体"/>
          <w:color w:val="333333"/>
          <w:kern w:val="0"/>
          <w:szCs w:val="21"/>
        </w:rPr>
        <w:t>Ca' Foscari</w:t>
      </w:r>
      <w:r w:rsidR="003E7BC3" w:rsidRPr="003E7BC3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Venezia</w:t>
      </w:r>
      <w:r w:rsidR="00421D86">
        <w:rPr>
          <w:rFonts w:asciiTheme="minorEastAsia" w:hAnsiTheme="minorEastAsia" w:cs="宋体" w:hint="eastAsia"/>
          <w:color w:val="333333"/>
          <w:kern w:val="0"/>
          <w:szCs w:val="21"/>
        </w:rPr>
        <w:t xml:space="preserve">； 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英文：Ca</w:t>
      </w:r>
      <w:proofErr w:type="gramStart"/>
      <w:r w:rsidR="00697E1D">
        <w:rPr>
          <w:rFonts w:asciiTheme="minorEastAsia" w:hAnsiTheme="minorEastAsia" w:cs="宋体"/>
          <w:color w:val="333333"/>
          <w:kern w:val="0"/>
          <w:szCs w:val="21"/>
        </w:rPr>
        <w:t>’</w:t>
      </w:r>
      <w:proofErr w:type="gramEnd"/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foscari University of Venice）官方唯一中文名称为“威尼斯大学”，是意大利东北部地区最重要的高等学府之一，1868年由威尼斯省代理省长</w:t>
      </w:r>
      <w:r w:rsidR="00B04F4A" w:rsidRPr="006B301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Edward 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Deodati创立，是意大利第一所</w:t>
      </w:r>
      <w:r w:rsidR="00692A67" w:rsidRPr="006B3010">
        <w:rPr>
          <w:rFonts w:asciiTheme="minorEastAsia" w:hAnsiTheme="minorEastAsia" w:cs="宋体" w:hint="eastAsia"/>
          <w:color w:val="333333"/>
          <w:kern w:val="0"/>
          <w:szCs w:val="21"/>
        </w:rPr>
        <w:t>、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欧洲第二所商</w:t>
      </w:r>
      <w:r w:rsidR="00692A67" w:rsidRPr="006B3010">
        <w:rPr>
          <w:rFonts w:asciiTheme="minorEastAsia" w:hAnsiTheme="minorEastAsia" w:cs="宋体" w:hint="eastAsia"/>
          <w:color w:val="333333"/>
          <w:kern w:val="0"/>
          <w:szCs w:val="21"/>
        </w:rPr>
        <w:t>科大学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。学院坐落在世界上独一无二的水城威尼斯，步行</w:t>
      </w:r>
      <w:proofErr w:type="gramStart"/>
      <w:r w:rsidR="00EE1BD4" w:rsidRPr="006B3010">
        <w:rPr>
          <w:rFonts w:asciiTheme="minorEastAsia" w:hAnsiTheme="minorEastAsia" w:cs="宋体" w:hint="eastAsia"/>
          <w:color w:val="333333"/>
          <w:kern w:val="0"/>
          <w:szCs w:val="21"/>
        </w:rPr>
        <w:t>稍许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就</w:t>
      </w:r>
      <w:proofErr w:type="gramEnd"/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可以欣赏到</w:t>
      </w:r>
      <w:r w:rsidR="00A9617E" w:rsidRPr="006B3010">
        <w:rPr>
          <w:rFonts w:asciiTheme="minorEastAsia" w:hAnsiTheme="minorEastAsia" w:cs="宋体" w:hint="eastAsia"/>
          <w:color w:val="333333"/>
          <w:kern w:val="0"/>
          <w:szCs w:val="21"/>
        </w:rPr>
        <w:t>威尼斯水城风景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。威尼斯大学的商科、经济学和管理学具有悠久的传统。在2015年在意大利独立报(Reppublica)的全国公立大学综合排行榜上，威尼斯大学名列第9位</w:t>
      </w:r>
      <w:r w:rsidR="00EE1BD4" w:rsidRPr="006B3010">
        <w:rPr>
          <w:rFonts w:asciiTheme="minorEastAsia" w:hAnsiTheme="minorEastAsia" w:cs="宋体" w:hint="eastAsia"/>
          <w:color w:val="333333"/>
          <w:kern w:val="0"/>
          <w:szCs w:val="21"/>
        </w:rPr>
        <w:t>，这得益于威尼斯大学出众的研究和教学实力。</w:t>
      </w:r>
    </w:p>
    <w:p w:rsidR="003E3BDF" w:rsidRDefault="004F4DC0" w:rsidP="0019346E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威尼斯大学下设8个学院，分别为:经济学院、哲学学院、管理学院、环境信息及统计学院、分子与纳米系统学院、语言与比较文化学院、亚洲与北非问题学院、人文学院。</w:t>
      </w:r>
    </w:p>
    <w:p w:rsidR="003E3BDF" w:rsidRPr="0019346E" w:rsidRDefault="00F20A4A" w:rsidP="0019346E">
      <w:pPr>
        <w:widowControl/>
        <w:shd w:val="clear" w:color="auto" w:fill="FFFFFF"/>
        <w:spacing w:before="120" w:after="120" w:line="312" w:lineRule="atLeast"/>
        <w:ind w:firstLineChars="200" w:firstLine="420"/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威尼斯大学官网：</w:t>
      </w:r>
      <w:hyperlink r:id="rId8" w:history="1">
        <w:r w:rsidR="00673569" w:rsidRPr="00F72865">
          <w:rPr>
            <w:rStyle w:val="a4"/>
            <w:rFonts w:asciiTheme="minorEastAsia" w:hAnsiTheme="minorEastAsia" w:cs="宋体"/>
            <w:kern w:val="0"/>
            <w:szCs w:val="21"/>
          </w:rPr>
          <w:t>www.unive.it</w:t>
        </w:r>
      </w:hyperlink>
    </w:p>
    <w:p w:rsidR="004F4DC0" w:rsidRDefault="00445255" w:rsidP="00673569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此次威尼斯大学企业可持续发展管理硕士研究生</w:t>
      </w:r>
      <w:r w:rsidR="00A9496D">
        <w:rPr>
          <w:rFonts w:asciiTheme="minorEastAsia" w:hAnsiTheme="minorEastAsia" w:cs="宋体" w:hint="eastAsia"/>
          <w:color w:val="333333"/>
          <w:kern w:val="0"/>
          <w:szCs w:val="21"/>
        </w:rPr>
        <w:t>课程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班由威尼斯大学</w:t>
      </w:r>
      <w:r w:rsidR="006A3B7F" w:rsidRPr="006B3010">
        <w:rPr>
          <w:rFonts w:asciiTheme="minorEastAsia" w:hAnsiTheme="minorEastAsia" w:cs="宋体" w:hint="eastAsia"/>
          <w:color w:val="333333"/>
          <w:kern w:val="0"/>
          <w:szCs w:val="21"/>
        </w:rPr>
        <w:t>主办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，由广东省企业可持续发展研究会协助开展日常管理。本</w:t>
      </w:r>
      <w:r w:rsidR="00B21A31">
        <w:rPr>
          <w:rFonts w:asciiTheme="minorEastAsia" w:hAnsiTheme="minorEastAsia" w:cs="宋体" w:hint="eastAsia"/>
          <w:color w:val="333333"/>
          <w:kern w:val="0"/>
          <w:szCs w:val="21"/>
        </w:rPr>
        <w:t>研究生课程班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以满足</w:t>
      </w:r>
      <w:r w:rsidR="00C85A9E">
        <w:rPr>
          <w:rFonts w:asciiTheme="minorEastAsia" w:hAnsiTheme="minorEastAsia" w:cs="宋体" w:hint="eastAsia"/>
          <w:color w:val="333333"/>
          <w:kern w:val="0"/>
          <w:szCs w:val="21"/>
        </w:rPr>
        <w:t>企业可持续发展管理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专业人士继续学业的诉求为目的，以提升EHS管理专业能力为宗旨，</w:t>
      </w:r>
      <w:r w:rsidR="0004785C">
        <w:rPr>
          <w:rFonts w:asciiTheme="minorEastAsia" w:hAnsiTheme="minorEastAsia" w:cs="宋体" w:hint="eastAsia"/>
          <w:color w:val="333333"/>
          <w:kern w:val="0"/>
          <w:szCs w:val="21"/>
        </w:rPr>
        <w:t>是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根据</w:t>
      </w:r>
      <w:r w:rsidR="00C97729">
        <w:rPr>
          <w:rFonts w:asciiTheme="minorEastAsia" w:hAnsiTheme="minorEastAsia" w:cs="宋体" w:hint="eastAsia"/>
          <w:color w:val="333333"/>
          <w:kern w:val="0"/>
          <w:szCs w:val="21"/>
        </w:rPr>
        <w:t>企业可持续发展</w:t>
      </w:r>
      <w:r w:rsidR="0004785C">
        <w:rPr>
          <w:rFonts w:asciiTheme="minorEastAsia" w:hAnsiTheme="minorEastAsia" w:cs="宋体" w:hint="eastAsia"/>
          <w:color w:val="333333"/>
          <w:kern w:val="0"/>
          <w:szCs w:val="21"/>
        </w:rPr>
        <w:t>管理（包括</w:t>
      </w:r>
      <w:r w:rsidR="00C97729">
        <w:rPr>
          <w:rFonts w:asciiTheme="minorEastAsia" w:hAnsiTheme="minorEastAsia" w:cs="宋体" w:hint="eastAsia"/>
          <w:color w:val="333333"/>
          <w:kern w:val="0"/>
          <w:szCs w:val="21"/>
        </w:rPr>
        <w:t>EHS管理</w:t>
      </w:r>
      <w:r w:rsidR="0004785C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  <w:r w:rsidR="00C97729">
        <w:rPr>
          <w:rFonts w:asciiTheme="minorEastAsia" w:hAnsiTheme="minorEastAsia" w:cs="宋体" w:hint="eastAsia"/>
          <w:color w:val="333333"/>
          <w:kern w:val="0"/>
          <w:szCs w:val="21"/>
        </w:rPr>
        <w:t>从业人员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的实际情况与需求而量身定制的办学项目。</w:t>
      </w:r>
    </w:p>
    <w:p w:rsidR="00DE18F3" w:rsidRDefault="00DE18F3" w:rsidP="00DE18F3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color w:val="333333"/>
          <w:kern w:val="0"/>
          <w:szCs w:val="21"/>
        </w:rPr>
      </w:pPr>
    </w:p>
    <w:p w:rsidR="00445255" w:rsidRPr="00B0133C" w:rsidRDefault="00C97729" w:rsidP="00DE18F3">
      <w:pPr>
        <w:widowControl/>
        <w:shd w:val="clear" w:color="auto" w:fill="FFFFFF"/>
        <w:spacing w:before="120" w:after="120" w:line="312" w:lineRule="atLeast"/>
        <w:ind w:firstLineChars="200" w:firstLine="422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课程设置</w:t>
      </w:r>
      <w:r w:rsidR="0048444B">
        <w:rPr>
          <w:rFonts w:asciiTheme="minorEastAsia" w:hAnsiTheme="minorEastAsia" w:cs="宋体" w:hint="eastAsia"/>
          <w:b/>
          <w:color w:val="333333"/>
          <w:kern w:val="0"/>
          <w:szCs w:val="21"/>
        </w:rPr>
        <w:t>（10门）</w:t>
      </w:r>
      <w:r w:rsidR="0004785C"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04785C" w:rsidRPr="0048444B" w:rsidRDefault="0004785C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可持续性与环境风险评估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Sustainability and Environmental Risk Assessment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4785C" w:rsidRPr="0048444B" w:rsidRDefault="0004785C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环境管理体系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Environmental Management Systems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4785C" w:rsidRPr="0048444B" w:rsidRDefault="0004785C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推进和衡量公司企业可持续性的新工具和新标准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New tools and standards to advance and measure corporate/business sustainability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4785C" w:rsidRPr="0048444B" w:rsidRDefault="0004785C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职业健康</w:t>
      </w:r>
      <w:r w:rsidR="00A75B63" w:rsidRPr="0048444B">
        <w:rPr>
          <w:rFonts w:asciiTheme="minorEastAsia" w:hAnsiTheme="minorEastAsia" w:cs="宋体" w:hint="eastAsia"/>
          <w:color w:val="333333"/>
          <w:kern w:val="0"/>
          <w:szCs w:val="21"/>
        </w:rPr>
        <w:t>与安全管理</w:t>
      </w: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系</w:t>
      </w:r>
      <w:r w:rsidR="00A75B63" w:rsidRPr="0048444B">
        <w:rPr>
          <w:rFonts w:asciiTheme="minorEastAsia" w:hAnsiTheme="minorEastAsia" w:cs="宋体" w:hint="eastAsia"/>
          <w:color w:val="333333"/>
          <w:kern w:val="0"/>
          <w:szCs w:val="21"/>
        </w:rPr>
        <w:t>统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Occupational Health and Safety Management System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4785C" w:rsidRDefault="00A75B63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职业健康与安全风险管控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Risk Management of Occupational Health and Safety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A67E45" w:rsidRDefault="00A67E45" w:rsidP="00A67E45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color w:val="333333"/>
          <w:kern w:val="0"/>
          <w:szCs w:val="21"/>
        </w:rPr>
      </w:pPr>
    </w:p>
    <w:p w:rsidR="00A67E45" w:rsidRPr="00A67E45" w:rsidRDefault="00A67E45" w:rsidP="00A67E45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color w:val="333333"/>
          <w:kern w:val="0"/>
          <w:szCs w:val="21"/>
        </w:rPr>
      </w:pPr>
    </w:p>
    <w:p w:rsidR="0004785C" w:rsidRPr="0048444B" w:rsidRDefault="0004785C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企业职业健康</w:t>
      </w:r>
      <w:r w:rsidR="00A75B63" w:rsidRPr="0048444B">
        <w:rPr>
          <w:rFonts w:asciiTheme="minorEastAsia" w:hAnsiTheme="minorEastAsia" w:cs="宋体" w:hint="eastAsia"/>
          <w:color w:val="333333"/>
          <w:kern w:val="0"/>
          <w:szCs w:val="21"/>
        </w:rPr>
        <w:t>及</w:t>
      </w: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安全管理的最佳实践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Best Practice of Occupational Health and Safety Management in Enterprises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4785C" w:rsidRPr="0048444B" w:rsidRDefault="0004785C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环境管理：策略与评估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Environmental management: strategy and measurement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4785C" w:rsidRPr="0048444B" w:rsidRDefault="0004785C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环境管理：内外部信息披露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Environmental management: internal and external disclosure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4785C" w:rsidRPr="0048444B" w:rsidRDefault="0004785C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市场营销与沟通</w:t>
      </w:r>
      <w:r w:rsidR="007F06AE" w:rsidRPr="0048444B">
        <w:rPr>
          <w:rFonts w:asciiTheme="minorEastAsia" w:hAnsiTheme="minorEastAsia" w:cs="宋体" w:hint="eastAsia"/>
          <w:color w:val="333333"/>
          <w:kern w:val="0"/>
          <w:szCs w:val="21"/>
        </w:rPr>
        <w:t>交流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Marketing and communication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04785C" w:rsidRPr="0048444B" w:rsidRDefault="00B83F70" w:rsidP="0048444B">
      <w:pPr>
        <w:pStyle w:val="a9"/>
        <w:widowControl/>
        <w:numPr>
          <w:ilvl w:val="0"/>
          <w:numId w:val="1"/>
        </w:numPr>
        <w:shd w:val="clear" w:color="auto" w:fill="FFFFFF"/>
        <w:spacing w:before="120" w:after="120" w:line="312" w:lineRule="atLeast"/>
        <w:ind w:firstLineChars="0"/>
        <w:rPr>
          <w:rFonts w:asciiTheme="minorEastAsia" w:hAnsiTheme="minorEastAsia" w:cs="宋体"/>
          <w:color w:val="333333"/>
          <w:kern w:val="0"/>
          <w:szCs w:val="21"/>
        </w:rPr>
      </w:pP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利益相关者分析及参与的相关</w:t>
      </w:r>
      <w:r w:rsidR="0004785C" w:rsidRPr="0048444B">
        <w:rPr>
          <w:rFonts w:asciiTheme="minorEastAsia" w:hAnsiTheme="minorEastAsia" w:cs="宋体" w:hint="eastAsia"/>
          <w:color w:val="333333"/>
          <w:kern w:val="0"/>
          <w:szCs w:val="21"/>
        </w:rPr>
        <w:t>工具</w:t>
      </w:r>
      <w:r w:rsidRPr="0048444B">
        <w:rPr>
          <w:rFonts w:asciiTheme="minorEastAsia" w:hAnsiTheme="minorEastAsia" w:cs="宋体" w:hint="eastAsia"/>
          <w:color w:val="333333"/>
          <w:kern w:val="0"/>
          <w:szCs w:val="21"/>
        </w:rPr>
        <w:t>介绍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（</w:t>
      </w:r>
      <w:r w:rsidR="00EC3062" w:rsidRPr="0048444B">
        <w:rPr>
          <w:rFonts w:asciiTheme="minorEastAsia" w:hAnsiTheme="minorEastAsia" w:cs="宋体"/>
          <w:color w:val="333333"/>
          <w:kern w:val="0"/>
          <w:szCs w:val="21"/>
        </w:rPr>
        <w:t>Tools for Stakeholders Analysis and Participation</w:t>
      </w:r>
      <w:r w:rsidR="00EC3062" w:rsidRPr="0048444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</w:p>
    <w:p w:rsidR="00C97729" w:rsidRPr="00C97729" w:rsidRDefault="00C97729" w:rsidP="00445255">
      <w:pPr>
        <w:widowControl/>
        <w:shd w:val="clear" w:color="auto" w:fill="FFFFFF"/>
        <w:spacing w:before="120" w:after="120" w:line="312" w:lineRule="atLeast"/>
        <w:ind w:firstLine="336"/>
        <w:rPr>
          <w:rFonts w:asciiTheme="minorEastAsia" w:hAnsiTheme="minorEastAsia" w:cs="宋体"/>
          <w:color w:val="333333"/>
          <w:kern w:val="0"/>
          <w:szCs w:val="21"/>
        </w:rPr>
      </w:pPr>
    </w:p>
    <w:p w:rsidR="004F4DC0" w:rsidRPr="00B0133C" w:rsidRDefault="004F4DC0" w:rsidP="004F4DC0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 xml:space="preserve">　　一、招生专业与名额：</w:t>
      </w:r>
    </w:p>
    <w:p w:rsidR="004F4DC0" w:rsidRPr="004F4DC0" w:rsidRDefault="004F4DC0" w:rsidP="004F4DC0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</w:t>
      </w:r>
      <w:r w:rsidR="00B04F4A" w:rsidRPr="006B3010">
        <w:rPr>
          <w:rFonts w:asciiTheme="minorEastAsia" w:hAnsiTheme="minorEastAsia" w:cs="宋体" w:hint="eastAsia"/>
          <w:color w:val="333333"/>
          <w:kern w:val="0"/>
          <w:szCs w:val="21"/>
        </w:rPr>
        <w:t>企业可持续发展</w:t>
      </w:r>
      <w:r w:rsidR="00F73348">
        <w:rPr>
          <w:rFonts w:asciiTheme="minorEastAsia" w:hAnsiTheme="minorEastAsia" w:cs="宋体" w:hint="eastAsia"/>
          <w:color w:val="333333"/>
          <w:kern w:val="0"/>
          <w:szCs w:val="21"/>
        </w:rPr>
        <w:t>管理（包括</w:t>
      </w:r>
      <w:r w:rsidR="00B04F4A" w:rsidRPr="006B3010">
        <w:rPr>
          <w:rFonts w:asciiTheme="minorEastAsia" w:hAnsiTheme="minorEastAsia" w:cs="宋体" w:hint="eastAsia"/>
          <w:color w:val="333333"/>
          <w:kern w:val="0"/>
          <w:szCs w:val="21"/>
        </w:rPr>
        <w:t>EHS管理</w:t>
      </w:r>
      <w:r w:rsidR="00F73348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  <w:r w:rsidR="00B04F4A" w:rsidRPr="006B3010">
        <w:rPr>
          <w:rFonts w:asciiTheme="minorEastAsia" w:hAnsiTheme="minorEastAsia" w:cs="宋体" w:hint="eastAsia"/>
          <w:color w:val="333333"/>
          <w:kern w:val="0"/>
          <w:szCs w:val="21"/>
        </w:rPr>
        <w:t>专业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B04F4A" w:rsidRPr="006B3010">
        <w:rPr>
          <w:rFonts w:asciiTheme="minorEastAsia" w:hAnsiTheme="minorEastAsia" w:cs="宋体" w:hint="eastAsia"/>
          <w:color w:val="333333"/>
          <w:kern w:val="0"/>
          <w:szCs w:val="21"/>
        </w:rPr>
        <w:t>30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名。</w:t>
      </w:r>
    </w:p>
    <w:p w:rsidR="00B04F4A" w:rsidRPr="00F73348" w:rsidRDefault="00B04F4A" w:rsidP="004F4DC0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color w:val="333333"/>
          <w:kern w:val="0"/>
          <w:szCs w:val="21"/>
        </w:rPr>
      </w:pPr>
    </w:p>
    <w:p w:rsidR="004F4DC0" w:rsidRPr="00B0133C" w:rsidRDefault="004F4DC0" w:rsidP="004F4DC0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 xml:space="preserve">　　二、学制、学习方式与</w:t>
      </w:r>
      <w:r w:rsidR="00B04F4A"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上课地点</w:t>
      </w:r>
      <w:r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673569" w:rsidRDefault="006858B6" w:rsidP="00673569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威尼斯大学EHS管理专业硕士</w:t>
      </w:r>
      <w:r w:rsidR="00B21A31">
        <w:rPr>
          <w:rFonts w:asciiTheme="minorEastAsia" w:hAnsiTheme="minorEastAsia" w:cs="宋体" w:hint="eastAsia"/>
          <w:color w:val="333333"/>
          <w:kern w:val="0"/>
          <w:szCs w:val="21"/>
        </w:rPr>
        <w:t>研究生课程班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将严格依照欧洲学分转换与积累体系（European Credit Transfer and Accumulation System, ECTS）设定的学分制。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学制</w:t>
      </w:r>
      <w:r w:rsidR="00BE566F" w:rsidRPr="006B3010">
        <w:rPr>
          <w:rFonts w:asciiTheme="minorEastAsia" w:hAnsiTheme="minorEastAsia" w:cs="宋体" w:hint="eastAsia"/>
          <w:color w:val="333333"/>
          <w:kern w:val="0"/>
          <w:szCs w:val="21"/>
        </w:rPr>
        <w:t>为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两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年。</w:t>
      </w:r>
    </w:p>
    <w:p w:rsidR="00673569" w:rsidRDefault="006858B6" w:rsidP="00673569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学习采取集中面授与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课后</w:t>
      </w:r>
      <w:r w:rsidR="00AE74A8">
        <w:rPr>
          <w:rFonts w:asciiTheme="minorEastAsia" w:hAnsiTheme="minorEastAsia" w:cs="宋体" w:hint="eastAsia"/>
          <w:color w:val="333333"/>
          <w:kern w:val="0"/>
          <w:szCs w:val="21"/>
        </w:rPr>
        <w:t>自我提升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相结合的方式，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授课时间安排在周末</w:t>
      </w:r>
      <w:r w:rsidR="0048444B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343C61">
        <w:rPr>
          <w:rFonts w:asciiTheme="minorEastAsia" w:hAnsiTheme="minorEastAsia" w:cs="宋体" w:hint="eastAsia"/>
          <w:color w:val="333333"/>
          <w:kern w:val="0"/>
          <w:szCs w:val="21"/>
        </w:rPr>
        <w:t>总</w:t>
      </w:r>
      <w:r w:rsidR="0048444B">
        <w:rPr>
          <w:rFonts w:asciiTheme="minorEastAsia" w:hAnsiTheme="minorEastAsia" w:cs="宋体" w:hint="eastAsia"/>
          <w:color w:val="333333"/>
          <w:kern w:val="0"/>
          <w:szCs w:val="21"/>
        </w:rPr>
        <w:t>共400学时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  <w:r w:rsidR="00B04F4A" w:rsidRPr="006B3010">
        <w:rPr>
          <w:rFonts w:asciiTheme="minorEastAsia" w:hAnsiTheme="minorEastAsia" w:cs="宋体" w:hint="eastAsia"/>
          <w:color w:val="333333"/>
          <w:kern w:val="0"/>
          <w:szCs w:val="21"/>
        </w:rPr>
        <w:t>授课地点</w:t>
      </w:r>
      <w:r w:rsidR="00AE74A8">
        <w:rPr>
          <w:rFonts w:asciiTheme="minorEastAsia" w:hAnsiTheme="minorEastAsia" w:cs="宋体" w:hint="eastAsia"/>
          <w:color w:val="333333"/>
          <w:kern w:val="0"/>
          <w:szCs w:val="21"/>
        </w:rPr>
        <w:t>在</w:t>
      </w:r>
      <w:r w:rsidR="00B04F4A" w:rsidRPr="006B3010">
        <w:rPr>
          <w:rFonts w:asciiTheme="minorEastAsia" w:hAnsiTheme="minorEastAsia" w:cs="宋体" w:hint="eastAsia"/>
          <w:color w:val="333333"/>
          <w:kern w:val="0"/>
          <w:szCs w:val="21"/>
        </w:rPr>
        <w:t>广州，课程后期有两星期课程需在意大利威尼斯大学本部完成。</w:t>
      </w:r>
    </w:p>
    <w:p w:rsidR="00673569" w:rsidRDefault="0035634E" w:rsidP="00673569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授课语言：中英双语</w:t>
      </w:r>
      <w:r w:rsidR="00AE74A8">
        <w:rPr>
          <w:rFonts w:asciiTheme="minorEastAsia" w:hAnsiTheme="minorEastAsia" w:cs="宋体" w:hint="eastAsia"/>
          <w:color w:val="333333"/>
          <w:kern w:val="0"/>
          <w:szCs w:val="21"/>
        </w:rPr>
        <w:t>教学，英文课程配有中文翻译人员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6858B6" w:rsidRPr="006B3010" w:rsidRDefault="006858B6" w:rsidP="00673569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学员学习期满，修满学分并经考试考核，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成绩合格者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可获得由威尼斯大学颁发的硕士学位证——Professional Master。</w:t>
      </w:r>
    </w:p>
    <w:p w:rsidR="00B04F4A" w:rsidRPr="004F4DC0" w:rsidRDefault="00B04F4A" w:rsidP="006858B6">
      <w:pPr>
        <w:widowControl/>
        <w:shd w:val="clear" w:color="auto" w:fill="FFFFFF"/>
        <w:spacing w:before="120" w:after="120" w:line="312" w:lineRule="atLeast"/>
        <w:ind w:firstLine="336"/>
        <w:rPr>
          <w:rFonts w:asciiTheme="minorEastAsia" w:hAnsiTheme="minorEastAsia" w:cs="宋体"/>
          <w:color w:val="333333"/>
          <w:kern w:val="0"/>
          <w:szCs w:val="21"/>
        </w:rPr>
      </w:pPr>
    </w:p>
    <w:p w:rsidR="00FE4F9A" w:rsidRPr="00B0133C" w:rsidRDefault="004F4DC0" w:rsidP="00FE4F9A">
      <w:pPr>
        <w:widowControl/>
        <w:shd w:val="clear" w:color="auto" w:fill="FFFFFF"/>
        <w:spacing w:before="120" w:after="120" w:line="312" w:lineRule="atLeast"/>
        <w:ind w:firstLine="324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三、</w:t>
      </w:r>
      <w:r w:rsidR="00FE4F9A"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入学要求</w:t>
      </w:r>
      <w:r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FE4F9A" w:rsidRPr="006B3010" w:rsidRDefault="00FE4F9A" w:rsidP="00FE4F9A">
      <w:pPr>
        <w:widowControl/>
        <w:shd w:val="clear" w:color="auto" w:fill="FFFFFF"/>
        <w:spacing w:before="120" w:after="120" w:line="312" w:lineRule="atLeast"/>
        <w:ind w:firstLine="324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1. 大学本科或同等学力（经意大利</w:t>
      </w:r>
      <w:r w:rsidR="00AE74A8">
        <w:rPr>
          <w:rFonts w:asciiTheme="minorEastAsia" w:hAnsiTheme="minorEastAsia" w:cs="宋体" w:hint="eastAsia"/>
          <w:color w:val="333333"/>
          <w:kern w:val="0"/>
          <w:szCs w:val="21"/>
        </w:rPr>
        <w:t>驻华领事机构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认证），专业不限</w:t>
      </w:r>
      <w:r w:rsidR="000915A1"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</w:p>
    <w:p w:rsidR="006F17AA" w:rsidRPr="004F4DC0" w:rsidRDefault="00FE4F9A" w:rsidP="00DE18F3">
      <w:pPr>
        <w:widowControl/>
        <w:shd w:val="clear" w:color="auto" w:fill="FFFFFF"/>
        <w:spacing w:before="120" w:after="120" w:line="312" w:lineRule="atLeast"/>
        <w:ind w:firstLine="324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2.</w:t>
      </w:r>
      <w:r w:rsidR="006F17AA" w:rsidRPr="006B301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有一定的英文听说读写基础。原则上需</w:t>
      </w:r>
      <w:proofErr w:type="gramStart"/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达到欧标</w:t>
      </w:r>
      <w:proofErr w:type="gramEnd"/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B1水平，</w:t>
      </w:r>
      <w:r w:rsidR="006F17AA" w:rsidRPr="006B3010">
        <w:rPr>
          <w:rFonts w:asciiTheme="minorEastAsia" w:hAnsiTheme="minorEastAsia" w:cs="宋体" w:hint="eastAsia"/>
          <w:color w:val="333333"/>
          <w:kern w:val="0"/>
          <w:szCs w:val="21"/>
        </w:rPr>
        <w:t>或具有同等水平以上的IELTS与TOEFL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成绩</w:t>
      </w:r>
      <w:r w:rsidR="00DE18F3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6F17AA" w:rsidRPr="006B3010" w:rsidRDefault="004F4DC0" w:rsidP="004F4DC0">
      <w:pPr>
        <w:widowControl/>
        <w:shd w:val="clear" w:color="auto" w:fill="FFFFFF"/>
        <w:spacing w:before="120" w:after="120" w:line="312" w:lineRule="atLeast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</w:t>
      </w:r>
    </w:p>
    <w:p w:rsidR="00E8353B" w:rsidRPr="00E8353B" w:rsidRDefault="00DE18F3" w:rsidP="002356D1">
      <w:pPr>
        <w:widowControl/>
        <w:shd w:val="clear" w:color="auto" w:fill="FFFFFF"/>
        <w:spacing w:before="120" w:after="120" w:line="312" w:lineRule="atLeast"/>
        <w:ind w:firstLine="324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四</w:t>
      </w:r>
      <w:r w:rsidR="0035634E" w:rsidRPr="00E8353B">
        <w:rPr>
          <w:rFonts w:asciiTheme="minorEastAsia" w:hAnsiTheme="minorEastAsia" w:cs="宋体" w:hint="eastAsia"/>
          <w:b/>
          <w:color w:val="333333"/>
          <w:kern w:val="0"/>
          <w:szCs w:val="21"/>
        </w:rPr>
        <w:t>、学费：</w:t>
      </w:r>
    </w:p>
    <w:p w:rsidR="0035634E" w:rsidRPr="006B3010" w:rsidRDefault="0035634E" w:rsidP="002356D1">
      <w:pPr>
        <w:widowControl/>
        <w:shd w:val="clear" w:color="auto" w:fill="FFFFFF"/>
        <w:spacing w:before="120" w:after="120" w:line="312" w:lineRule="atLeast"/>
        <w:ind w:firstLine="324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7650欧元（可分两年交纳）</w:t>
      </w:r>
    </w:p>
    <w:p w:rsidR="001548BB" w:rsidRPr="006B3010" w:rsidRDefault="001548BB" w:rsidP="0035634E">
      <w:pPr>
        <w:widowControl/>
        <w:shd w:val="clear" w:color="auto" w:fill="FFFFFF"/>
        <w:spacing w:before="120" w:after="120" w:line="312" w:lineRule="atLeast"/>
        <w:ind w:firstLine="324"/>
        <w:rPr>
          <w:rFonts w:asciiTheme="minorEastAsia" w:hAnsiTheme="minorEastAsia" w:cs="宋体"/>
          <w:color w:val="333333"/>
          <w:kern w:val="0"/>
          <w:szCs w:val="21"/>
        </w:rPr>
      </w:pPr>
    </w:p>
    <w:p w:rsidR="001548BB" w:rsidRPr="00E8353B" w:rsidRDefault="00DE18F3" w:rsidP="0035634E">
      <w:pPr>
        <w:widowControl/>
        <w:shd w:val="clear" w:color="auto" w:fill="FFFFFF"/>
        <w:spacing w:before="120" w:after="120" w:line="312" w:lineRule="atLeast"/>
        <w:ind w:firstLine="324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五</w:t>
      </w:r>
      <w:r w:rsidR="001548BB" w:rsidRPr="00E8353B">
        <w:rPr>
          <w:rFonts w:asciiTheme="minorEastAsia" w:hAnsiTheme="minorEastAsia" w:cs="宋体" w:hint="eastAsia"/>
          <w:b/>
          <w:color w:val="333333"/>
          <w:kern w:val="0"/>
          <w:szCs w:val="21"/>
        </w:rPr>
        <w:t>、报名资料</w:t>
      </w:r>
    </w:p>
    <w:p w:rsidR="002356D1" w:rsidRPr="006B3010" w:rsidRDefault="004F4DC0" w:rsidP="006B3010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1</w:t>
      </w:r>
      <w:r w:rsidR="00A14D05">
        <w:rPr>
          <w:rFonts w:asciiTheme="minorEastAsia" w:hAnsiTheme="minorEastAsia" w:cs="宋体" w:hint="eastAsia"/>
          <w:color w:val="333333"/>
          <w:kern w:val="0"/>
          <w:szCs w:val="21"/>
        </w:rPr>
        <w:t>．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填写《</w:t>
      </w:r>
      <w:r w:rsidR="002356D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2018威尼斯大学企业可持续发展</w:t>
      </w:r>
      <w:r w:rsidR="00E40C7E">
        <w:rPr>
          <w:rFonts w:asciiTheme="minorEastAsia" w:hAnsiTheme="minorEastAsia" w:cs="宋体" w:hint="eastAsia"/>
          <w:color w:val="333333"/>
          <w:kern w:val="0"/>
          <w:szCs w:val="21"/>
        </w:rPr>
        <w:t>管理</w:t>
      </w:r>
      <w:r w:rsidR="002356D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硕士</w:t>
      </w:r>
      <w:r w:rsidR="00B21A31">
        <w:rPr>
          <w:rFonts w:asciiTheme="minorEastAsia" w:hAnsiTheme="minorEastAsia" w:cs="宋体" w:hint="eastAsia"/>
          <w:color w:val="333333"/>
          <w:kern w:val="0"/>
          <w:szCs w:val="21"/>
        </w:rPr>
        <w:t>研究生课程班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报</w:t>
      </w:r>
      <w:r w:rsidR="002356D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名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登记表》1份</w:t>
      </w:r>
      <w:r w:rsidR="00C0309D"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</w:p>
    <w:p w:rsidR="002356D1" w:rsidRPr="006B3010" w:rsidRDefault="004F4DC0" w:rsidP="006B3010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2</w:t>
      </w:r>
      <w:r w:rsidR="00A14D05">
        <w:rPr>
          <w:rFonts w:asciiTheme="minorEastAsia" w:hAnsiTheme="minorEastAsia" w:cs="宋体" w:hint="eastAsia"/>
          <w:color w:val="333333"/>
          <w:kern w:val="0"/>
          <w:szCs w:val="21"/>
        </w:rPr>
        <w:t>．</w:t>
      </w:r>
      <w:r w:rsidR="002356D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学历学位证书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原件及复印件</w:t>
      </w:r>
      <w:r w:rsidR="00C0309D"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</w:p>
    <w:p w:rsidR="006B3010" w:rsidRPr="006B3010" w:rsidRDefault="004F4DC0" w:rsidP="006B3010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3</w:t>
      </w:r>
      <w:r w:rsidR="00A14D05">
        <w:rPr>
          <w:rFonts w:asciiTheme="minorEastAsia" w:hAnsiTheme="minorEastAsia" w:cs="宋体" w:hint="eastAsia"/>
          <w:color w:val="333333"/>
          <w:kern w:val="0"/>
          <w:szCs w:val="21"/>
        </w:rPr>
        <w:t>．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身份证原件及复印件</w:t>
      </w:r>
      <w:r w:rsidR="00C0309D"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</w:p>
    <w:p w:rsidR="002356D1" w:rsidRPr="006B3010" w:rsidRDefault="004F4DC0" w:rsidP="006B3010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4</w:t>
      </w:r>
      <w:r w:rsidR="00A14D05">
        <w:rPr>
          <w:rFonts w:asciiTheme="minorEastAsia" w:hAnsiTheme="minorEastAsia" w:cs="宋体" w:hint="eastAsia"/>
          <w:color w:val="333333"/>
          <w:kern w:val="0"/>
          <w:szCs w:val="21"/>
        </w:rPr>
        <w:t>．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一寸正面彩色照片</w:t>
      </w:r>
      <w:r w:rsidR="002356D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3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张</w:t>
      </w:r>
      <w:r w:rsidR="00C0309D"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</w:p>
    <w:p w:rsidR="000C4F12" w:rsidRPr="004F4DC0" w:rsidRDefault="004F4DC0" w:rsidP="00DE18F3">
      <w:pPr>
        <w:widowControl/>
        <w:shd w:val="clear" w:color="auto" w:fill="FFFFFF"/>
        <w:spacing w:before="120" w:after="120" w:line="312" w:lineRule="atLeast"/>
        <w:ind w:firstLineChars="200"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5</w:t>
      </w:r>
      <w:r w:rsidR="00A14D05">
        <w:rPr>
          <w:rFonts w:asciiTheme="minorEastAsia" w:hAnsiTheme="minorEastAsia" w:cs="宋体" w:hint="eastAsia"/>
          <w:color w:val="333333"/>
          <w:kern w:val="0"/>
          <w:szCs w:val="21"/>
        </w:rPr>
        <w:t>．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报名费</w:t>
      </w:r>
      <w:r w:rsidR="002356D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30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0</w:t>
      </w:r>
      <w:r w:rsidR="002356D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欧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元</w:t>
      </w:r>
      <w:r w:rsidR="002356D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（包括在总学费中）。</w:t>
      </w:r>
    </w:p>
    <w:p w:rsidR="00DF1819" w:rsidRDefault="004F4DC0" w:rsidP="00DF1819">
      <w:pPr>
        <w:widowControl/>
        <w:shd w:val="clear" w:color="auto" w:fill="FFFFFF"/>
        <w:spacing w:before="120" w:after="120" w:line="312" w:lineRule="atLeast"/>
        <w:ind w:firstLine="336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报</w:t>
      </w:r>
      <w:r w:rsidR="00084042" w:rsidRPr="006B3010">
        <w:rPr>
          <w:rFonts w:asciiTheme="minorEastAsia" w:hAnsiTheme="minorEastAsia" w:cs="宋体" w:hint="eastAsia"/>
          <w:color w:val="333333"/>
          <w:kern w:val="0"/>
          <w:szCs w:val="21"/>
        </w:rPr>
        <w:t>名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登记表要求本人如实填写，特别是联系电话、通讯地址等信息，如因填写有误或字迹不清导致联系不通、录取通知书发送不到，后果自负</w:t>
      </w:r>
      <w:r w:rsidR="00084042" w:rsidRPr="006B3010">
        <w:rPr>
          <w:rFonts w:asciiTheme="minorEastAsia" w:hAnsiTheme="minorEastAsia" w:cs="宋体" w:hint="eastAsia"/>
          <w:color w:val="333333"/>
          <w:kern w:val="0"/>
          <w:szCs w:val="21"/>
        </w:rPr>
        <w:t>；报名表上的个人情况需经审核才能通过报名，资料如有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不实，</w:t>
      </w:r>
      <w:r w:rsidR="00084042" w:rsidRPr="006B3010">
        <w:rPr>
          <w:rFonts w:asciiTheme="minorEastAsia" w:hAnsiTheme="minorEastAsia" w:cs="宋体" w:hint="eastAsia"/>
          <w:color w:val="333333"/>
          <w:kern w:val="0"/>
          <w:szCs w:val="21"/>
        </w:rPr>
        <w:t>将取消学员的报名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资格。</w:t>
      </w:r>
    </w:p>
    <w:p w:rsidR="00DE18F3" w:rsidRDefault="00DE18F3" w:rsidP="00DF1819">
      <w:pPr>
        <w:widowControl/>
        <w:shd w:val="clear" w:color="auto" w:fill="FFFFFF"/>
        <w:spacing w:before="120" w:after="120" w:line="312" w:lineRule="atLeast"/>
        <w:ind w:firstLine="336"/>
        <w:rPr>
          <w:rFonts w:asciiTheme="minorEastAsia" w:hAnsiTheme="minorEastAsia" w:cs="宋体"/>
          <w:color w:val="333333"/>
          <w:kern w:val="0"/>
          <w:szCs w:val="21"/>
        </w:rPr>
      </w:pPr>
    </w:p>
    <w:p w:rsidR="00DE18F3" w:rsidRPr="00B0133C" w:rsidRDefault="00DE18F3" w:rsidP="00DE18F3">
      <w:pPr>
        <w:widowControl/>
        <w:shd w:val="clear" w:color="auto" w:fill="FFFFFF"/>
        <w:spacing w:before="120" w:after="120" w:line="312" w:lineRule="atLeast"/>
        <w:ind w:firstLineChars="200" w:firstLine="422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六、报名时间</w:t>
      </w:r>
      <w:r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地点</w:t>
      </w: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及联系人</w:t>
      </w:r>
      <w:r w:rsidRPr="00B0133C"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DE18F3" w:rsidRDefault="00DE18F3" w:rsidP="00DE18F3">
      <w:pPr>
        <w:widowControl/>
        <w:shd w:val="clear" w:color="auto" w:fill="FFFFFF"/>
        <w:spacing w:before="120" w:after="120" w:line="312" w:lineRule="atLeast"/>
        <w:ind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报名时间：201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8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年3月2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6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日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开始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(上午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9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：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3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0</w:t>
      </w:r>
      <w:r w:rsidR="008A1F03">
        <w:rPr>
          <w:rFonts w:asciiTheme="minorEastAsia" w:hAnsiTheme="minorEastAsia" w:cs="宋体" w:hint="eastAsia"/>
          <w:color w:val="333333"/>
          <w:kern w:val="0"/>
          <w:szCs w:val="21"/>
        </w:rPr>
        <w:t>-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1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2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：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0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0，下午2：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0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0</w:t>
      </w:r>
      <w:r w:rsidR="008A1F03">
        <w:rPr>
          <w:rFonts w:asciiTheme="minorEastAsia" w:hAnsiTheme="minorEastAsia" w:cs="宋体" w:hint="eastAsia"/>
          <w:color w:val="333333"/>
          <w:kern w:val="0"/>
          <w:szCs w:val="21"/>
        </w:rPr>
        <w:t>-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5：30)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，额满即止</w:t>
      </w: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DE18F3" w:rsidRDefault="00DE18F3" w:rsidP="00DE18F3">
      <w:pPr>
        <w:widowControl/>
        <w:shd w:val="clear" w:color="auto" w:fill="FFFFFF"/>
        <w:spacing w:before="120" w:after="120" w:line="312" w:lineRule="atLeast"/>
        <w:ind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4F4DC0">
        <w:rPr>
          <w:rFonts w:asciiTheme="minorEastAsia" w:hAnsiTheme="minorEastAsia" w:cs="宋体" w:hint="eastAsia"/>
          <w:color w:val="333333"/>
          <w:kern w:val="0"/>
          <w:szCs w:val="21"/>
        </w:rPr>
        <w:t>报名地点：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广州市海珠区新港西路135号中山大学岭南学院</w:t>
      </w:r>
      <w:proofErr w:type="gramStart"/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叶葆定堂</w:t>
      </w:r>
      <w:proofErr w:type="gramEnd"/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1楼EHS中心 </w:t>
      </w:r>
    </w:p>
    <w:p w:rsidR="00DE18F3" w:rsidRDefault="00DE18F3" w:rsidP="00DE18F3">
      <w:pPr>
        <w:widowControl/>
        <w:shd w:val="clear" w:color="auto" w:fill="FFFFFF"/>
        <w:spacing w:before="120" w:after="120" w:line="312" w:lineRule="atLeast"/>
        <w:ind w:firstLine="420"/>
        <w:rPr>
          <w:rFonts w:asciiTheme="minorEastAsia" w:hAnsiTheme="minorEastAsia" w:cs="宋体"/>
          <w:color w:val="333333"/>
          <w:kern w:val="0"/>
          <w:szCs w:val="21"/>
        </w:rPr>
      </w:pP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 xml:space="preserve">联系电话：020-84035354 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、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020-84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112231</w:t>
      </w:r>
      <w:r w:rsidR="00CF2011">
        <w:rPr>
          <w:rFonts w:asciiTheme="minorEastAsia" w:hAnsiTheme="minorEastAsia" w:cs="宋体" w:hint="eastAsia"/>
          <w:color w:val="333333"/>
          <w:kern w:val="0"/>
          <w:szCs w:val="21"/>
        </w:rPr>
        <w:t>、</w:t>
      </w:r>
      <w:r w:rsidR="00CF2011" w:rsidRPr="006B3010">
        <w:rPr>
          <w:rFonts w:asciiTheme="minorEastAsia" w:hAnsiTheme="minorEastAsia" w:cs="宋体" w:hint="eastAsia"/>
          <w:color w:val="333333"/>
          <w:kern w:val="0"/>
          <w:szCs w:val="21"/>
        </w:rPr>
        <w:t>020-84</w:t>
      </w:r>
      <w:r w:rsidR="00CF2011">
        <w:rPr>
          <w:rFonts w:asciiTheme="minorEastAsia" w:hAnsiTheme="minorEastAsia" w:cs="宋体" w:hint="eastAsia"/>
          <w:color w:val="333333"/>
          <w:kern w:val="0"/>
          <w:szCs w:val="21"/>
        </w:rPr>
        <w:t>112234</w:t>
      </w:r>
    </w:p>
    <w:p w:rsidR="00DE18F3" w:rsidRPr="00DE18F3" w:rsidRDefault="00DE18F3" w:rsidP="00B177FD">
      <w:pPr>
        <w:widowControl/>
        <w:shd w:val="clear" w:color="auto" w:fill="FFFFFF"/>
        <w:spacing w:before="120" w:after="120" w:line="312" w:lineRule="atLeast"/>
        <w:ind w:firstLine="420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联系人：</w:t>
      </w:r>
      <w:r w:rsidRPr="006B3010">
        <w:rPr>
          <w:rFonts w:asciiTheme="minorEastAsia" w:hAnsiTheme="minorEastAsia" w:cs="宋体" w:hint="eastAsia"/>
          <w:color w:val="333333"/>
          <w:kern w:val="0"/>
          <w:szCs w:val="21"/>
        </w:rPr>
        <w:t>陈老师、贺老师</w:t>
      </w:r>
      <w:r w:rsidR="00CF2011">
        <w:rPr>
          <w:rFonts w:asciiTheme="minorEastAsia" w:hAnsiTheme="minorEastAsia" w:cs="宋体" w:hint="eastAsia"/>
          <w:color w:val="333333"/>
          <w:kern w:val="0"/>
          <w:szCs w:val="21"/>
        </w:rPr>
        <w:t>、徐老师</w:t>
      </w:r>
      <w:bookmarkEnd w:id="0"/>
      <w:bookmarkEnd w:id="1"/>
    </w:p>
    <w:sectPr w:rsidR="00DE18F3" w:rsidRPr="00DE18F3" w:rsidSect="00EF764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4F" w:rsidRDefault="003B264F" w:rsidP="007B5C64">
      <w:r>
        <w:separator/>
      </w:r>
    </w:p>
  </w:endnote>
  <w:endnote w:type="continuationSeparator" w:id="0">
    <w:p w:rsidR="003B264F" w:rsidRDefault="003B264F" w:rsidP="007B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4F" w:rsidRDefault="003B264F" w:rsidP="007B5C64">
      <w:r>
        <w:separator/>
      </w:r>
    </w:p>
  </w:footnote>
  <w:footnote w:type="continuationSeparator" w:id="0">
    <w:p w:rsidR="003B264F" w:rsidRDefault="003B264F" w:rsidP="007B5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64" w:rsidRDefault="007B5C64" w:rsidP="007B5C64">
    <w:pPr>
      <w:pStyle w:val="a7"/>
    </w:pPr>
    <w:r>
      <w:rPr>
        <w:noProof/>
      </w:rPr>
      <w:drawing>
        <wp:inline distT="0" distB="0" distL="0" distR="0">
          <wp:extent cx="1588770" cy="767906"/>
          <wp:effectExtent l="19050" t="0" r="0" b="0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096" cy="76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055"/>
    <w:multiLevelType w:val="hybridMultilevel"/>
    <w:tmpl w:val="CB483E14"/>
    <w:lvl w:ilvl="0" w:tplc="04090001">
      <w:start w:val="1"/>
      <w:numFmt w:val="bullet"/>
      <w:lvlText w:val=""/>
      <w:lvlJc w:val="left"/>
      <w:pPr>
        <w:ind w:left="7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DC0"/>
    <w:rsid w:val="0004785C"/>
    <w:rsid w:val="00084042"/>
    <w:rsid w:val="000915A1"/>
    <w:rsid w:val="000C4F12"/>
    <w:rsid w:val="001548BB"/>
    <w:rsid w:val="0019346E"/>
    <w:rsid w:val="0022716C"/>
    <w:rsid w:val="002342CA"/>
    <w:rsid w:val="002356D1"/>
    <w:rsid w:val="00245B7E"/>
    <w:rsid w:val="00261DF6"/>
    <w:rsid w:val="00317432"/>
    <w:rsid w:val="00335B0E"/>
    <w:rsid w:val="00343C61"/>
    <w:rsid w:val="0035634E"/>
    <w:rsid w:val="0036634D"/>
    <w:rsid w:val="00371E4F"/>
    <w:rsid w:val="00384518"/>
    <w:rsid w:val="003B264F"/>
    <w:rsid w:val="003E3BDF"/>
    <w:rsid w:val="003E7BC3"/>
    <w:rsid w:val="00403C47"/>
    <w:rsid w:val="00414B42"/>
    <w:rsid w:val="00416736"/>
    <w:rsid w:val="00421D86"/>
    <w:rsid w:val="0043262B"/>
    <w:rsid w:val="00445255"/>
    <w:rsid w:val="0048444B"/>
    <w:rsid w:val="004A3441"/>
    <w:rsid w:val="004D3B53"/>
    <w:rsid w:val="004F4DC0"/>
    <w:rsid w:val="004F6DDA"/>
    <w:rsid w:val="00615189"/>
    <w:rsid w:val="00673569"/>
    <w:rsid w:val="006858B6"/>
    <w:rsid w:val="00692A67"/>
    <w:rsid w:val="00697E1D"/>
    <w:rsid w:val="006A3B7F"/>
    <w:rsid w:val="006B3010"/>
    <w:rsid w:val="006F17AA"/>
    <w:rsid w:val="00755F12"/>
    <w:rsid w:val="0076507D"/>
    <w:rsid w:val="007B5C64"/>
    <w:rsid w:val="007F06AE"/>
    <w:rsid w:val="00810F2E"/>
    <w:rsid w:val="0082047E"/>
    <w:rsid w:val="00882D2D"/>
    <w:rsid w:val="008A1F03"/>
    <w:rsid w:val="0091693A"/>
    <w:rsid w:val="009F06C9"/>
    <w:rsid w:val="00A02070"/>
    <w:rsid w:val="00A14D05"/>
    <w:rsid w:val="00A2782A"/>
    <w:rsid w:val="00A67E45"/>
    <w:rsid w:val="00A7045C"/>
    <w:rsid w:val="00A75B63"/>
    <w:rsid w:val="00A9496D"/>
    <w:rsid w:val="00A9617E"/>
    <w:rsid w:val="00AA2B73"/>
    <w:rsid w:val="00AE74A8"/>
    <w:rsid w:val="00B0133C"/>
    <w:rsid w:val="00B04F4A"/>
    <w:rsid w:val="00B177FD"/>
    <w:rsid w:val="00B21A31"/>
    <w:rsid w:val="00B54CC1"/>
    <w:rsid w:val="00B83F70"/>
    <w:rsid w:val="00BE566F"/>
    <w:rsid w:val="00C0309D"/>
    <w:rsid w:val="00C85A9E"/>
    <w:rsid w:val="00C97729"/>
    <w:rsid w:val="00CA7E2F"/>
    <w:rsid w:val="00CF2011"/>
    <w:rsid w:val="00D125EA"/>
    <w:rsid w:val="00D74866"/>
    <w:rsid w:val="00DB7C9A"/>
    <w:rsid w:val="00DE18F3"/>
    <w:rsid w:val="00DF1819"/>
    <w:rsid w:val="00E40C7E"/>
    <w:rsid w:val="00E4213A"/>
    <w:rsid w:val="00E509EA"/>
    <w:rsid w:val="00E761A2"/>
    <w:rsid w:val="00E8353B"/>
    <w:rsid w:val="00EC3062"/>
    <w:rsid w:val="00EE1BD4"/>
    <w:rsid w:val="00EF764F"/>
    <w:rsid w:val="00F20A4A"/>
    <w:rsid w:val="00F26E22"/>
    <w:rsid w:val="00F35C8E"/>
    <w:rsid w:val="00F60993"/>
    <w:rsid w:val="00F73348"/>
    <w:rsid w:val="00F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4D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4DC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4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F4DC0"/>
    <w:rPr>
      <w:color w:val="0000FF"/>
      <w:u w:val="single"/>
    </w:rPr>
  </w:style>
  <w:style w:type="character" w:customStyle="1" w:styleId="time">
    <w:name w:val="time"/>
    <w:basedOn w:val="a0"/>
    <w:rsid w:val="004F4DC0"/>
  </w:style>
  <w:style w:type="character" w:styleId="a5">
    <w:name w:val="Strong"/>
    <w:basedOn w:val="a0"/>
    <w:uiPriority w:val="22"/>
    <w:qFormat/>
    <w:rsid w:val="004F4DC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DC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4DC0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B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B5C6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B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B5C64"/>
    <w:rPr>
      <w:sz w:val="18"/>
      <w:szCs w:val="18"/>
    </w:rPr>
  </w:style>
  <w:style w:type="paragraph" w:styleId="a9">
    <w:name w:val="List Paragraph"/>
    <w:basedOn w:val="a"/>
    <w:uiPriority w:val="34"/>
    <w:qFormat/>
    <w:rsid w:val="004844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375">
          <w:marLeft w:val="0"/>
          <w:marRight w:val="0"/>
          <w:marTop w:val="0"/>
          <w:marBottom w:val="0"/>
          <w:divBdr>
            <w:top w:val="single" w:sz="4" w:space="15" w:color="E6E6E6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993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31</cp:revision>
  <cp:lastPrinted>2018-03-26T07:21:00Z</cp:lastPrinted>
  <dcterms:created xsi:type="dcterms:W3CDTF">2018-03-26T06:59:00Z</dcterms:created>
  <dcterms:modified xsi:type="dcterms:W3CDTF">2018-03-27T09:46:00Z</dcterms:modified>
</cp:coreProperties>
</file>